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2C" w:rsidRDefault="003E2DD8" w:rsidP="00CE7A89">
      <w:pPr>
        <w:spacing w:after="0" w:line="360" w:lineRule="auto"/>
        <w:rPr>
          <w:rFonts w:ascii="Arial" w:hAnsi="Arial" w:cs="Arial"/>
          <w:b/>
          <w:u w:val="single"/>
        </w:rPr>
      </w:pPr>
      <w:r w:rsidRPr="003E2DD8">
        <w:rPr>
          <w:rFonts w:ascii="Arial" w:hAnsi="Arial" w:cs="Arial"/>
          <w:b/>
          <w:u w:val="single"/>
        </w:rPr>
        <w:t>Multiple Choice questions</w:t>
      </w:r>
    </w:p>
    <w:p w:rsidR="003E2DD8" w:rsidRDefault="003E2DD8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E2DD8">
        <w:rPr>
          <w:rFonts w:ascii="Arial" w:hAnsi="Arial" w:cs="Arial"/>
        </w:rPr>
        <w:t xml:space="preserve">TBI is </w:t>
      </w:r>
      <w:r>
        <w:rPr>
          <w:rFonts w:ascii="Arial" w:hAnsi="Arial" w:cs="Arial"/>
        </w:rPr>
        <w:t>classified into 3 GCS levels. A severe TBI is:</w:t>
      </w:r>
    </w:p>
    <w:p w:rsidR="003E2DD8" w:rsidRDefault="003E2DD8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GCS 0 – 9 </w:t>
      </w:r>
    </w:p>
    <w:p w:rsidR="003E2DD8" w:rsidRDefault="003E2DD8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GCS 2 – 9 </w:t>
      </w:r>
    </w:p>
    <w:p w:rsidR="003E2DD8" w:rsidRDefault="003E2DD8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c) GCS 1 – 9 </w:t>
      </w:r>
    </w:p>
    <w:p w:rsidR="003E2DD8" w:rsidRDefault="003E2DD8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d) GCS 1 – 8 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</w:p>
    <w:p w:rsidR="003E2DD8" w:rsidRDefault="003E2DD8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C2B9B">
        <w:rPr>
          <w:rFonts w:ascii="Arial" w:hAnsi="Arial" w:cs="Arial"/>
        </w:rPr>
        <w:t>While there is acknowledgement that severe TBI’s can return to work, where is the gap in the literature?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 The ability to RTW successfully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 The ability to RTW after having stable, secure and skilled pre-injury employment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c) The ability to RTW after having a part-time job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9C2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ability to RTW at all</w:t>
      </w: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 The objectives of the research were to: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 I</w:t>
      </w:r>
      <w:r w:rsidRPr="00B63344">
        <w:rPr>
          <w:rFonts w:ascii="Arial" w:hAnsi="Arial" w:cs="Arial"/>
        </w:rPr>
        <w:t>dentify and explore environmental factors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9C2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B63344">
        <w:rPr>
          <w:rFonts w:ascii="Arial" w:hAnsi="Arial" w:cs="Arial"/>
        </w:rPr>
        <w:t>dentify and explore residual performance skills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c) I</w:t>
      </w:r>
      <w:r w:rsidRPr="00B63344">
        <w:rPr>
          <w:rFonts w:ascii="Arial" w:hAnsi="Arial" w:cs="Arial"/>
        </w:rPr>
        <w:t xml:space="preserve">dentify and explore changes in </w:t>
      </w:r>
      <w:r>
        <w:rPr>
          <w:rFonts w:ascii="Arial" w:hAnsi="Arial" w:cs="Arial"/>
        </w:rPr>
        <w:t>personal attributes</w:t>
      </w:r>
    </w:p>
    <w:p w:rsidR="009C2B9B" w:rsidRDefault="009C2B9B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d) All of the above</w:t>
      </w: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The research study used a qualitative approach and collected data via means of:</w:t>
      </w: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a) In-depth interviews</w:t>
      </w: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b) Semi-structured interviews</w:t>
      </w:r>
    </w:p>
    <w:p w:rsidR="009C2B9B" w:rsidRDefault="009C2B9B" w:rsidP="00CE7A89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c) Focus groups</w:t>
      </w:r>
    </w:p>
    <w:p w:rsidR="009C2B9B" w:rsidRDefault="009C2B9B" w:rsidP="00CE7A89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d) Case study</w:t>
      </w: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</w:p>
    <w:p w:rsidR="009C2B9B" w:rsidRPr="00CE7A89" w:rsidRDefault="009C2B9B" w:rsidP="00CE7A89">
      <w:pPr>
        <w:spacing w:after="0" w:line="360" w:lineRule="auto"/>
        <w:rPr>
          <w:rFonts w:ascii="Arial" w:hAnsi="Arial" w:cs="Arial"/>
        </w:rPr>
      </w:pPr>
      <w:r w:rsidRPr="00CE7A89">
        <w:rPr>
          <w:rFonts w:ascii="Arial" w:hAnsi="Arial" w:cs="Arial"/>
        </w:rPr>
        <w:t xml:space="preserve">5. </w:t>
      </w:r>
      <w:r w:rsidR="00CE7A89" w:rsidRPr="00CE7A89">
        <w:rPr>
          <w:rFonts w:ascii="Arial" w:hAnsi="Arial" w:cs="Arial"/>
        </w:rPr>
        <w:t>Inclusion criteria included:</w:t>
      </w:r>
    </w:p>
    <w:p w:rsidR="00CE7A89" w:rsidRPr="00CE7A89" w:rsidRDefault="00CE7A89" w:rsidP="00CE7A89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CE7A89">
        <w:rPr>
          <w:rFonts w:ascii="Arial" w:hAnsi="Arial" w:cs="Arial"/>
        </w:rPr>
        <w:t>Individuals who may have additional premorbid or current psychiatric diagnosis according to the DSM IV</w:t>
      </w:r>
    </w:p>
    <w:p w:rsidR="00CE7A89" w:rsidRPr="00CE7A89" w:rsidRDefault="00CE7A89" w:rsidP="00CE7A89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CE7A89">
        <w:rPr>
          <w:rFonts w:ascii="Arial" w:hAnsi="Arial" w:cs="Arial"/>
        </w:rPr>
        <w:t>Individuals who make use of wheelchairs as their main form of mobility</w:t>
      </w:r>
    </w:p>
    <w:p w:rsidR="00CE7A89" w:rsidRDefault="00CE7A89" w:rsidP="00CE7A89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CE7A89">
        <w:rPr>
          <w:rFonts w:ascii="Arial" w:hAnsi="Arial" w:cs="Arial"/>
        </w:rPr>
        <w:t>Individuals that have had less than 3 years premorbid stable work in a single job</w:t>
      </w:r>
    </w:p>
    <w:p w:rsidR="00CE7A89" w:rsidRPr="00CE7A89" w:rsidRDefault="00CE7A89" w:rsidP="00CE7A89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None of the above</w:t>
      </w:r>
    </w:p>
    <w:p w:rsidR="009C2B9B" w:rsidRDefault="009C2B9B" w:rsidP="00CE7A89">
      <w:pPr>
        <w:spacing w:after="0" w:line="360" w:lineRule="auto"/>
        <w:rPr>
          <w:rFonts w:ascii="Arial" w:hAnsi="Arial" w:cs="Arial"/>
        </w:rPr>
      </w:pP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Two factors were identified as influencing the RTW of severe TBI’s. These were: 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Residual impairments and the environment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 Personal and rehabilitative support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BC63DE">
        <w:rPr>
          <w:rFonts w:ascii="Arial" w:hAnsi="Arial" w:cs="Arial"/>
        </w:rPr>
        <w:t xml:space="preserve">Internal and external factors 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BC63DE">
        <w:rPr>
          <w:rFonts w:ascii="Arial" w:hAnsi="Arial" w:cs="Arial"/>
        </w:rPr>
        <w:t>Emotional control and abilities to do the job</w:t>
      </w: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7. The first theme identified from the study described: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 The loss of the worker role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 Emotional Volatility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c) Uncertainty of abilities</w:t>
      </w:r>
    </w:p>
    <w:p w:rsidR="00CE7A89" w:rsidRDefault="00CE7A89" w:rsidP="00CE7A89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d) All of the above</w:t>
      </w: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8. The second theme identified from the study described: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 Rehabilitative support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 Personal support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c) Work support</w:t>
      </w: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d) All of the above</w:t>
      </w: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9. The findings of the study suggest that RTW is an enabler of: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 Emotional Volatility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Isolation 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c) Self-worth</w:t>
      </w:r>
    </w:p>
    <w:p w:rsidR="00CE7A89" w:rsidRDefault="00CE7A89" w:rsidP="00CE7A89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d) Loss-of-self</w:t>
      </w: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 The implications of the study: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may</w:t>
      </w:r>
      <w:proofErr w:type="gramEnd"/>
      <w:r>
        <w:rPr>
          <w:rFonts w:ascii="Arial" w:hAnsi="Arial" w:cs="Arial"/>
        </w:rPr>
        <w:t xml:space="preserve"> address the low RTW rate of PWD’s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>
        <w:rPr>
          <w:rFonts w:ascii="Arial" w:hAnsi="Arial" w:cs="Arial"/>
        </w:rPr>
        <w:t>suggest</w:t>
      </w:r>
      <w:proofErr w:type="gramEnd"/>
      <w:r>
        <w:rPr>
          <w:rFonts w:ascii="Arial" w:hAnsi="Arial" w:cs="Arial"/>
        </w:rPr>
        <w:t xml:space="preserve"> that vocational rehabilitation must be implemented at a PHC level</w:t>
      </w:r>
    </w:p>
    <w:p w:rsidR="00CE7A89" w:rsidRDefault="00CE7A89" w:rsidP="00CE7A8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gramStart"/>
      <w:r w:rsidR="00BC63DE">
        <w:rPr>
          <w:rFonts w:ascii="Arial" w:hAnsi="Arial" w:cs="Arial"/>
        </w:rPr>
        <w:t>highlight</w:t>
      </w:r>
      <w:proofErr w:type="gramEnd"/>
      <w:r w:rsidR="00BC63DE">
        <w:rPr>
          <w:rFonts w:ascii="Arial" w:hAnsi="Arial" w:cs="Arial"/>
        </w:rPr>
        <w:t xml:space="preserve"> the need for vocational rehabilitation to consider pre-injury skills</w:t>
      </w:r>
    </w:p>
    <w:p w:rsidR="00CE7A89" w:rsidRPr="00CE7A89" w:rsidRDefault="00CE7A89" w:rsidP="00CE7A8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="00BC63DE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of the above</w:t>
      </w:r>
    </w:p>
    <w:p w:rsidR="00CE7A89" w:rsidRDefault="00CE7A89" w:rsidP="00CE7A89">
      <w:pPr>
        <w:spacing w:after="0" w:line="360" w:lineRule="auto"/>
        <w:rPr>
          <w:rFonts w:ascii="Arial" w:hAnsi="Arial" w:cs="Arial"/>
        </w:rPr>
      </w:pPr>
    </w:p>
    <w:p w:rsidR="00BC63DE" w:rsidRDefault="00BC63DE" w:rsidP="00CE7A8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Answers</w:t>
      </w:r>
    </w:p>
    <w:p w:rsidR="00BC63DE" w:rsidRPr="00BC63DE" w:rsidRDefault="00BC63DE" w:rsidP="00CE7A89">
      <w:pPr>
        <w:spacing w:after="0" w:line="360" w:lineRule="auto"/>
        <w:rPr>
          <w:rFonts w:ascii="Arial" w:hAnsi="Arial" w:cs="Arial"/>
        </w:rPr>
      </w:pPr>
      <w:r w:rsidRPr="00BC63D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</w:t>
      </w:r>
      <w:proofErr w:type="gramEnd"/>
      <w:r w:rsidR="00C73D3B">
        <w:rPr>
          <w:rFonts w:ascii="Arial" w:hAnsi="Arial" w:cs="Arial"/>
        </w:rPr>
        <w:t xml:space="preserve"> </w:t>
      </w:r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b</w:t>
      </w:r>
      <w:proofErr w:type="gramEnd"/>
      <w:r w:rsidR="00C73D3B">
        <w:rPr>
          <w:rFonts w:ascii="Arial" w:hAnsi="Arial" w:cs="Arial"/>
        </w:rPr>
        <w:t xml:space="preserve"> </w:t>
      </w:r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d</w:t>
      </w:r>
      <w:proofErr w:type="gramEnd"/>
      <w:r w:rsidR="00C73D3B">
        <w:rPr>
          <w:rFonts w:ascii="Arial" w:hAnsi="Arial" w:cs="Arial"/>
        </w:rPr>
        <w:t xml:space="preserve"> </w:t>
      </w:r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b</w:t>
      </w:r>
      <w:proofErr w:type="gramEnd"/>
      <w:r w:rsidR="00C73D3B">
        <w:rPr>
          <w:rFonts w:ascii="Arial" w:hAnsi="Arial" w:cs="Arial"/>
        </w:rPr>
        <w:t xml:space="preserve"> </w:t>
      </w:r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d</w:t>
      </w:r>
      <w:proofErr w:type="gramEnd"/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c</w:t>
      </w:r>
      <w:proofErr w:type="gramEnd"/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d</w:t>
      </w:r>
      <w:proofErr w:type="gramEnd"/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d</w:t>
      </w:r>
      <w:proofErr w:type="gramEnd"/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proofErr w:type="gramStart"/>
      <w:r w:rsidR="00C73D3B">
        <w:rPr>
          <w:rFonts w:ascii="Arial" w:hAnsi="Arial" w:cs="Arial"/>
        </w:rPr>
        <w:t>c</w:t>
      </w:r>
      <w:bookmarkStart w:id="0" w:name="_GoBack"/>
      <w:bookmarkEnd w:id="0"/>
      <w:proofErr w:type="gramEnd"/>
      <w:r w:rsidR="00C73D3B">
        <w:rPr>
          <w:rFonts w:ascii="Arial" w:hAnsi="Arial" w:cs="Arial"/>
        </w:rPr>
        <w:tab/>
      </w:r>
      <w:r w:rsidRPr="00BC63DE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d </w:t>
      </w:r>
    </w:p>
    <w:sectPr w:rsidR="00BC63DE" w:rsidRPr="00BC63DE" w:rsidSect="00C73D3B">
      <w:footerReference w:type="default" r:id="rId8"/>
      <w:pgSz w:w="11906" w:h="16838"/>
      <w:pgMar w:top="1440" w:right="1440" w:bottom="1440" w:left="1440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EA" w:rsidRDefault="006311EA" w:rsidP="00C73D3B">
      <w:pPr>
        <w:spacing w:after="0" w:line="240" w:lineRule="auto"/>
      </w:pPr>
      <w:r>
        <w:separator/>
      </w:r>
    </w:p>
  </w:endnote>
  <w:endnote w:type="continuationSeparator" w:id="0">
    <w:p w:rsidR="006311EA" w:rsidRDefault="006311EA" w:rsidP="00C7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505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D3B" w:rsidRDefault="00C73D3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C73D3B" w:rsidRDefault="00C73D3B">
        <w:pPr>
          <w:pStyle w:val="Footer"/>
          <w:jc w:val="center"/>
        </w:pPr>
      </w:p>
    </w:sdtContent>
  </w:sdt>
  <w:p w:rsidR="00C73D3B" w:rsidRPr="00C73D3B" w:rsidRDefault="00C73D3B" w:rsidP="00C73D3B">
    <w:pPr>
      <w:spacing w:after="0" w:line="480" w:lineRule="auto"/>
      <w:jc w:val="center"/>
      <w:rPr>
        <w:rFonts w:ascii="Arial" w:hAnsi="Arial" w:cs="Arial"/>
        <w:sz w:val="20"/>
        <w:szCs w:val="24"/>
      </w:rPr>
    </w:pPr>
    <w:r w:rsidRPr="00C73D3B">
      <w:rPr>
        <w:rFonts w:ascii="Arial" w:hAnsi="Arial" w:cs="Arial"/>
        <w:sz w:val="20"/>
        <w:szCs w:val="24"/>
      </w:rPr>
      <w:t>“We all need employment” - An exploration of the factors which influence the return to work after a severe traumatic brain injury</w:t>
    </w:r>
  </w:p>
  <w:p w:rsidR="00C73D3B" w:rsidRDefault="00C73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EA" w:rsidRDefault="006311EA" w:rsidP="00C73D3B">
      <w:pPr>
        <w:spacing w:after="0" w:line="240" w:lineRule="auto"/>
      </w:pPr>
      <w:r>
        <w:separator/>
      </w:r>
    </w:p>
  </w:footnote>
  <w:footnote w:type="continuationSeparator" w:id="0">
    <w:p w:rsidR="006311EA" w:rsidRDefault="006311EA" w:rsidP="00C7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412A"/>
    <w:multiLevelType w:val="hybridMultilevel"/>
    <w:tmpl w:val="4AC4A11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D8"/>
    <w:rsid w:val="003E2DD8"/>
    <w:rsid w:val="006311EA"/>
    <w:rsid w:val="009C2B9B"/>
    <w:rsid w:val="00A3792C"/>
    <w:rsid w:val="00BC63DE"/>
    <w:rsid w:val="00C73D3B"/>
    <w:rsid w:val="00C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3B"/>
  </w:style>
  <w:style w:type="paragraph" w:styleId="Footer">
    <w:name w:val="footer"/>
    <w:basedOn w:val="Normal"/>
    <w:link w:val="FooterChar"/>
    <w:uiPriority w:val="99"/>
    <w:unhideWhenUsed/>
    <w:rsid w:val="00C7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3B"/>
  </w:style>
  <w:style w:type="paragraph" w:styleId="Footer">
    <w:name w:val="footer"/>
    <w:basedOn w:val="Normal"/>
    <w:link w:val="FooterChar"/>
    <w:uiPriority w:val="99"/>
    <w:unhideWhenUsed/>
    <w:rsid w:val="00C7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2016-11-28T09:22:00Z</dcterms:created>
  <dcterms:modified xsi:type="dcterms:W3CDTF">2016-11-28T09:58:00Z</dcterms:modified>
</cp:coreProperties>
</file>