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32" w:rsidRDefault="004020A5">
      <w:pPr>
        <w:rPr>
          <w:b/>
        </w:rPr>
      </w:pPr>
      <w:r>
        <w:rPr>
          <w:b/>
        </w:rPr>
        <w:t>MULTIPLE CHOICE QUESTIONS</w:t>
      </w:r>
    </w:p>
    <w:p w:rsidR="004020A5" w:rsidRDefault="004020A5">
      <w:pPr>
        <w:rPr>
          <w:b/>
        </w:rPr>
      </w:pPr>
    </w:p>
    <w:p w:rsidR="004020A5" w:rsidRDefault="004020A5">
      <w:pPr>
        <w:rPr>
          <w:b/>
        </w:rPr>
      </w:pPr>
      <w:r>
        <w:rPr>
          <w:b/>
        </w:rPr>
        <w:t xml:space="preserve">PROFESSIONAL CONFIDENCE – SAJOT, Holland, </w:t>
      </w:r>
      <w:proofErr w:type="gramStart"/>
      <w:r>
        <w:rPr>
          <w:b/>
        </w:rPr>
        <w:t>Middleton  and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Uys</w:t>
      </w:r>
      <w:proofErr w:type="spellEnd"/>
    </w:p>
    <w:p w:rsidR="004020A5" w:rsidRDefault="004020A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88"/>
        <w:gridCol w:w="1080"/>
        <w:gridCol w:w="1008"/>
      </w:tblGrid>
      <w:tr w:rsidR="004020A5" w:rsidTr="004020A5">
        <w:tc>
          <w:tcPr>
            <w:tcW w:w="7488" w:type="dxa"/>
          </w:tcPr>
          <w:p w:rsidR="004020A5" w:rsidRDefault="004020A5"/>
        </w:tc>
        <w:tc>
          <w:tcPr>
            <w:tcW w:w="1080" w:type="dxa"/>
          </w:tcPr>
          <w:p w:rsidR="004020A5" w:rsidRDefault="004020A5">
            <w:r>
              <w:t>Yes</w:t>
            </w:r>
          </w:p>
        </w:tc>
        <w:tc>
          <w:tcPr>
            <w:tcW w:w="1008" w:type="dxa"/>
          </w:tcPr>
          <w:p w:rsidR="004020A5" w:rsidRDefault="004020A5">
            <w:r>
              <w:t>No</w:t>
            </w:r>
          </w:p>
        </w:tc>
      </w:tr>
      <w:tr w:rsidR="004020A5" w:rsidTr="004020A5">
        <w:tc>
          <w:tcPr>
            <w:tcW w:w="7488" w:type="dxa"/>
          </w:tcPr>
          <w:p w:rsidR="004020A5" w:rsidRDefault="004020A5">
            <w:r>
              <w:t>1. Students are exposed to a professional socialization process during their training</w:t>
            </w:r>
          </w:p>
        </w:tc>
        <w:tc>
          <w:tcPr>
            <w:tcW w:w="1080" w:type="dxa"/>
          </w:tcPr>
          <w:p w:rsidR="004020A5" w:rsidRDefault="004020A5">
            <w:r>
              <w:rPr>
                <w:rFonts w:cstheme="minorHAnsi"/>
              </w:rPr>
              <w:t>√</w:t>
            </w:r>
          </w:p>
        </w:tc>
        <w:tc>
          <w:tcPr>
            <w:tcW w:w="1008" w:type="dxa"/>
          </w:tcPr>
          <w:p w:rsidR="004020A5" w:rsidRDefault="004020A5"/>
        </w:tc>
      </w:tr>
      <w:tr w:rsidR="004020A5" w:rsidTr="004020A5">
        <w:tc>
          <w:tcPr>
            <w:tcW w:w="7488" w:type="dxa"/>
          </w:tcPr>
          <w:p w:rsidR="004020A5" w:rsidRDefault="004020A5">
            <w:r>
              <w:t>2. Professional confidence, professional identity and competence are interlinked</w:t>
            </w:r>
          </w:p>
        </w:tc>
        <w:tc>
          <w:tcPr>
            <w:tcW w:w="1080" w:type="dxa"/>
          </w:tcPr>
          <w:p w:rsidR="004020A5" w:rsidRDefault="004020A5">
            <w:r>
              <w:rPr>
                <w:rFonts w:cstheme="minorHAnsi"/>
              </w:rPr>
              <w:t>√</w:t>
            </w:r>
          </w:p>
        </w:tc>
        <w:tc>
          <w:tcPr>
            <w:tcW w:w="1008" w:type="dxa"/>
          </w:tcPr>
          <w:p w:rsidR="004020A5" w:rsidRDefault="004020A5"/>
        </w:tc>
      </w:tr>
      <w:tr w:rsidR="004020A5" w:rsidTr="004020A5">
        <w:tc>
          <w:tcPr>
            <w:tcW w:w="7488" w:type="dxa"/>
          </w:tcPr>
          <w:p w:rsidR="004020A5" w:rsidRDefault="004020A5" w:rsidP="004020A5">
            <w:r>
              <w:t>3. Professional confidence plays no role in clinical decision making</w:t>
            </w:r>
          </w:p>
        </w:tc>
        <w:tc>
          <w:tcPr>
            <w:tcW w:w="1080" w:type="dxa"/>
          </w:tcPr>
          <w:p w:rsidR="004020A5" w:rsidRDefault="004020A5"/>
        </w:tc>
        <w:tc>
          <w:tcPr>
            <w:tcW w:w="1008" w:type="dxa"/>
          </w:tcPr>
          <w:p w:rsidR="004020A5" w:rsidRDefault="004020A5">
            <w:r>
              <w:t>x</w:t>
            </w:r>
          </w:p>
        </w:tc>
      </w:tr>
      <w:tr w:rsidR="004020A5" w:rsidTr="004020A5">
        <w:tc>
          <w:tcPr>
            <w:tcW w:w="7488" w:type="dxa"/>
          </w:tcPr>
          <w:p w:rsidR="004020A5" w:rsidRDefault="004020A5">
            <w:r>
              <w:t>4. Research has shown that clinical supervisors are critical players in fostering a student’s professional confidence</w:t>
            </w:r>
          </w:p>
        </w:tc>
        <w:tc>
          <w:tcPr>
            <w:tcW w:w="1080" w:type="dxa"/>
          </w:tcPr>
          <w:p w:rsidR="004020A5" w:rsidRDefault="004020A5"/>
        </w:tc>
        <w:tc>
          <w:tcPr>
            <w:tcW w:w="1008" w:type="dxa"/>
          </w:tcPr>
          <w:p w:rsidR="004020A5" w:rsidRDefault="004020A5">
            <w:r>
              <w:t>x</w:t>
            </w:r>
          </w:p>
        </w:tc>
      </w:tr>
      <w:tr w:rsidR="004020A5" w:rsidTr="004020A5">
        <w:tc>
          <w:tcPr>
            <w:tcW w:w="7488" w:type="dxa"/>
          </w:tcPr>
          <w:p w:rsidR="004020A5" w:rsidRDefault="004020A5">
            <w:r>
              <w:t>5. Group supervision of students while on experiential learning experiences is not the ideal mode of supervision if enhanced professional confidence is sought</w:t>
            </w:r>
          </w:p>
        </w:tc>
        <w:tc>
          <w:tcPr>
            <w:tcW w:w="1080" w:type="dxa"/>
          </w:tcPr>
          <w:p w:rsidR="004020A5" w:rsidRDefault="004020A5"/>
        </w:tc>
        <w:tc>
          <w:tcPr>
            <w:tcW w:w="1008" w:type="dxa"/>
          </w:tcPr>
          <w:p w:rsidR="004020A5" w:rsidRDefault="004020A5">
            <w:r>
              <w:t>x</w:t>
            </w:r>
          </w:p>
        </w:tc>
      </w:tr>
      <w:tr w:rsidR="004020A5" w:rsidTr="004020A5">
        <w:tc>
          <w:tcPr>
            <w:tcW w:w="7488" w:type="dxa"/>
          </w:tcPr>
          <w:p w:rsidR="004020A5" w:rsidRDefault="004020A5" w:rsidP="00A0719E">
            <w:r>
              <w:t xml:space="preserve">6. </w:t>
            </w:r>
            <w:r w:rsidR="00A0719E">
              <w:t>Low m</w:t>
            </w:r>
            <w:r>
              <w:t>arks or grades</w:t>
            </w:r>
            <w:r w:rsidR="00A0719E">
              <w:t xml:space="preserve"> awarded to student can be mitigated by the belief a supervisor is perceived to display in the student</w:t>
            </w:r>
          </w:p>
        </w:tc>
        <w:tc>
          <w:tcPr>
            <w:tcW w:w="1080" w:type="dxa"/>
          </w:tcPr>
          <w:p w:rsidR="004020A5" w:rsidRDefault="00A0719E">
            <w:r>
              <w:rPr>
                <w:rFonts w:cstheme="minorHAnsi"/>
              </w:rPr>
              <w:t>√</w:t>
            </w:r>
          </w:p>
        </w:tc>
        <w:tc>
          <w:tcPr>
            <w:tcW w:w="1008" w:type="dxa"/>
          </w:tcPr>
          <w:p w:rsidR="004020A5" w:rsidRDefault="004020A5"/>
        </w:tc>
      </w:tr>
      <w:tr w:rsidR="004020A5" w:rsidTr="004020A5">
        <w:tc>
          <w:tcPr>
            <w:tcW w:w="7488" w:type="dxa"/>
          </w:tcPr>
          <w:p w:rsidR="004020A5" w:rsidRDefault="004020A5">
            <w:r>
              <w:t>7.</w:t>
            </w:r>
            <w:r w:rsidR="00A0719E">
              <w:t xml:space="preserve">  this research highlighted that the students believed that internal determinants of professional confidence were of greater value that external determinants</w:t>
            </w:r>
          </w:p>
        </w:tc>
        <w:tc>
          <w:tcPr>
            <w:tcW w:w="1080" w:type="dxa"/>
          </w:tcPr>
          <w:p w:rsidR="004020A5" w:rsidRDefault="00A0719E">
            <w:r>
              <w:rPr>
                <w:rFonts w:cstheme="minorHAnsi"/>
              </w:rPr>
              <w:t>√</w:t>
            </w:r>
          </w:p>
        </w:tc>
        <w:tc>
          <w:tcPr>
            <w:tcW w:w="1008" w:type="dxa"/>
          </w:tcPr>
          <w:p w:rsidR="004020A5" w:rsidRDefault="004020A5"/>
        </w:tc>
      </w:tr>
      <w:tr w:rsidR="004020A5" w:rsidTr="004020A5">
        <w:tc>
          <w:tcPr>
            <w:tcW w:w="7488" w:type="dxa"/>
          </w:tcPr>
          <w:p w:rsidR="004020A5" w:rsidRDefault="004020A5" w:rsidP="00A0719E">
            <w:r>
              <w:t>8.</w:t>
            </w:r>
            <w:r w:rsidR="00A0719E">
              <w:t xml:space="preserve"> OT training programmes should simultaneously work on developing a student’s coping skills when enhanced professional confidence is targeted</w:t>
            </w:r>
          </w:p>
        </w:tc>
        <w:tc>
          <w:tcPr>
            <w:tcW w:w="1080" w:type="dxa"/>
          </w:tcPr>
          <w:p w:rsidR="004020A5" w:rsidRDefault="00A0719E">
            <w:r>
              <w:rPr>
                <w:rFonts w:cstheme="minorHAnsi"/>
              </w:rPr>
              <w:t>√</w:t>
            </w:r>
          </w:p>
        </w:tc>
        <w:tc>
          <w:tcPr>
            <w:tcW w:w="1008" w:type="dxa"/>
          </w:tcPr>
          <w:p w:rsidR="004020A5" w:rsidRDefault="004020A5"/>
        </w:tc>
      </w:tr>
      <w:tr w:rsidR="004020A5" w:rsidTr="004020A5">
        <w:tc>
          <w:tcPr>
            <w:tcW w:w="7488" w:type="dxa"/>
          </w:tcPr>
          <w:p w:rsidR="004020A5" w:rsidRDefault="004020A5">
            <w:r>
              <w:t>9.</w:t>
            </w:r>
            <w:r w:rsidR="00A0719E">
              <w:t xml:space="preserve"> The research informants in this student were identified as being confident before the study started.</w:t>
            </w:r>
          </w:p>
        </w:tc>
        <w:tc>
          <w:tcPr>
            <w:tcW w:w="1080" w:type="dxa"/>
          </w:tcPr>
          <w:p w:rsidR="004020A5" w:rsidRDefault="004020A5"/>
        </w:tc>
        <w:tc>
          <w:tcPr>
            <w:tcW w:w="1008" w:type="dxa"/>
          </w:tcPr>
          <w:p w:rsidR="004020A5" w:rsidRDefault="00A0719E">
            <w:r>
              <w:t>x</w:t>
            </w:r>
          </w:p>
        </w:tc>
      </w:tr>
      <w:tr w:rsidR="004020A5" w:rsidTr="004020A5">
        <w:tc>
          <w:tcPr>
            <w:tcW w:w="7488" w:type="dxa"/>
          </w:tcPr>
          <w:p w:rsidR="004020A5" w:rsidRDefault="004020A5">
            <w:r>
              <w:t>10.</w:t>
            </w:r>
            <w:r w:rsidR="00A0719E">
              <w:t xml:space="preserve"> Professional confidence underpins competence</w:t>
            </w:r>
          </w:p>
        </w:tc>
        <w:tc>
          <w:tcPr>
            <w:tcW w:w="1080" w:type="dxa"/>
          </w:tcPr>
          <w:p w:rsidR="004020A5" w:rsidRDefault="00A0719E">
            <w:r>
              <w:rPr>
                <w:rFonts w:cstheme="minorHAnsi"/>
              </w:rPr>
              <w:t>√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020A5" w:rsidRDefault="004020A5"/>
        </w:tc>
      </w:tr>
    </w:tbl>
    <w:p w:rsidR="004020A5" w:rsidRPr="004020A5" w:rsidRDefault="004020A5"/>
    <w:sectPr w:rsidR="004020A5" w:rsidRPr="00402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A5"/>
    <w:rsid w:val="004020A5"/>
    <w:rsid w:val="00A0719E"/>
    <w:rsid w:val="00A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2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</dc:creator>
  <cp:lastModifiedBy>Kathy</cp:lastModifiedBy>
  <cp:revision>1</cp:revision>
  <dcterms:created xsi:type="dcterms:W3CDTF">2012-06-11T04:20:00Z</dcterms:created>
  <dcterms:modified xsi:type="dcterms:W3CDTF">2012-06-11T04:37:00Z</dcterms:modified>
</cp:coreProperties>
</file>